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E8F" w:rsidRDefault="00FB5E8F" w:rsidP="00625ACE">
      <w:pPr>
        <w:autoSpaceDE w:val="0"/>
        <w:autoSpaceDN w:val="0"/>
        <w:adjustRightInd w:val="0"/>
        <w:spacing w:line="240" w:lineRule="auto"/>
        <w:jc w:val="center"/>
        <w:rPr>
          <w:rFonts w:ascii="Frutiger-BlackCn" w:hAnsi="Frutiger-BlackCn" w:cs="Frutiger-BlackCn"/>
          <w:b/>
          <w:bCs/>
          <w:sz w:val="48"/>
          <w:szCs w:val="48"/>
        </w:rPr>
      </w:pPr>
      <w:r>
        <w:rPr>
          <w:rFonts w:ascii="Frutiger-BlackCn" w:hAnsi="Frutiger-BlackCn" w:cs="Frutiger-BlackCn"/>
          <w:b/>
          <w:bCs/>
          <w:sz w:val="48"/>
          <w:szCs w:val="48"/>
        </w:rPr>
        <w:t>Classroom Questioning</w:t>
      </w:r>
      <w:r w:rsidR="00625ACE">
        <w:rPr>
          <w:rFonts w:ascii="Frutiger-BlackCn" w:hAnsi="Frutiger-BlackCn" w:cs="Frutiger-BlackCn"/>
          <w:b/>
          <w:bCs/>
          <w:sz w:val="48"/>
          <w:szCs w:val="48"/>
        </w:rPr>
        <w:t xml:space="preserve"> </w:t>
      </w:r>
      <w:r w:rsidR="00625ACE" w:rsidRPr="00625ACE">
        <w:rPr>
          <w:rFonts w:ascii="Frutiger-BlackCn" w:hAnsi="Frutiger-BlackCn" w:cs="Frutiger-BlackCn"/>
          <w:b/>
          <w:bCs/>
          <w:szCs w:val="24"/>
        </w:rPr>
        <w:t>(abridged)</w:t>
      </w:r>
    </w:p>
    <w:p w:rsidR="00FB5E8F" w:rsidRDefault="00FB5E8F" w:rsidP="00625ACE">
      <w:pPr>
        <w:autoSpaceDE w:val="0"/>
        <w:autoSpaceDN w:val="0"/>
        <w:adjustRightInd w:val="0"/>
        <w:spacing w:line="240" w:lineRule="auto"/>
        <w:jc w:val="center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Kathleen Cotton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Frutiger-BoldCn" w:hAnsi="Frutiger-BoldCn" w:cs="Frutiger-BoldCn"/>
          <w:b/>
          <w:bCs/>
          <w:sz w:val="28"/>
          <w:szCs w:val="28"/>
        </w:rPr>
      </w:pPr>
      <w:r>
        <w:rPr>
          <w:rFonts w:ascii="Frutiger-BoldCn" w:hAnsi="Frutiger-BoldCn" w:cs="Frutiger-BoldCn"/>
          <w:b/>
          <w:bCs/>
          <w:sz w:val="28"/>
          <w:szCs w:val="28"/>
        </w:rPr>
        <w:t>Introduction</w:t>
      </w:r>
    </w:p>
    <w:p w:rsidR="00E571D9" w:rsidRDefault="00E571D9" w:rsidP="00FB5E8F">
      <w:pPr>
        <w:autoSpaceDE w:val="0"/>
        <w:autoSpaceDN w:val="0"/>
        <w:adjustRightInd w:val="0"/>
        <w:spacing w:line="240" w:lineRule="auto"/>
        <w:rPr>
          <w:rFonts w:ascii="Frutiger-BoldCn" w:hAnsi="Frutiger-BoldCn" w:cs="Frutiger-BoldCn"/>
          <w:b/>
          <w:bCs/>
          <w:sz w:val="28"/>
          <w:szCs w:val="28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Articles on the subject of classroom questioning often begin by invoking Socrates. Researchers and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other writers concerned with questioning techniques seem to want to remind us that questioning has a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long and venerable history as an educational strategy. And indeed, the Socratic method of using questions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and answers to challenge assumptions, expose contradictions, and lead to new knowledge and wisdom is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an undeniably powerful teaching approach.</w:t>
      </w:r>
    </w:p>
    <w:p w:rsidR="00E571D9" w:rsidRDefault="00E571D9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In addition to its long history and demonstrated effectiveness, questioning is also of interest to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researchers and practitioners because of its widespread use as a contemporary teaching technique.</w:t>
      </w:r>
      <w:r w:rsidR="00E571D9">
        <w:rPr>
          <w:rFonts w:ascii="ACaslon-Regular" w:hAnsi="ACaslon-Regular" w:cs="ACaslon-Regular"/>
          <w:sz w:val="22"/>
        </w:rPr>
        <w:t xml:space="preserve">  </w:t>
      </w:r>
      <w:r>
        <w:rPr>
          <w:rFonts w:ascii="ACaslon-Regular" w:hAnsi="ACaslon-Regular" w:cs="ACaslon-Regular"/>
          <w:sz w:val="22"/>
        </w:rPr>
        <w:t>Research indicates that questioning is second only to lecturing in popularity as a teaching method and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that classroom teachers spend anywhere from thirty-five to fifty percent of their instructional time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conducting questioning sessions.</w:t>
      </w:r>
    </w:p>
    <w:p w:rsidR="00E571D9" w:rsidRDefault="00E571D9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Frutiger-BoldCn" w:hAnsi="Frutiger-BoldCn" w:cs="Frutiger-BoldCn"/>
          <w:b/>
          <w:bCs/>
          <w:sz w:val="28"/>
          <w:szCs w:val="28"/>
        </w:rPr>
      </w:pPr>
      <w:r>
        <w:rPr>
          <w:rFonts w:ascii="Frutiger-BoldCn" w:hAnsi="Frutiger-BoldCn" w:cs="Frutiger-BoldCn"/>
          <w:b/>
          <w:bCs/>
          <w:sz w:val="28"/>
          <w:szCs w:val="28"/>
        </w:rPr>
        <w:t>The Research on Classroom Questioning</w:t>
      </w:r>
    </w:p>
    <w:p w:rsidR="00E571D9" w:rsidRDefault="00E571D9" w:rsidP="00FB5E8F">
      <w:pPr>
        <w:autoSpaceDE w:val="0"/>
        <w:autoSpaceDN w:val="0"/>
        <w:adjustRightInd w:val="0"/>
        <w:spacing w:line="240" w:lineRule="auto"/>
        <w:rPr>
          <w:rFonts w:ascii="Frutiger-BoldCn" w:hAnsi="Frutiger-BoldCn" w:cs="Frutiger-BoldCn"/>
          <w:b/>
          <w:bCs/>
          <w:sz w:val="28"/>
          <w:szCs w:val="28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Frutiger-BoldCn" w:hAnsi="Frutiger-BoldCn" w:cs="Frutiger-BoldCn"/>
          <w:b/>
          <w:bCs/>
          <w:sz w:val="20"/>
          <w:szCs w:val="20"/>
        </w:rPr>
      </w:pPr>
      <w:r>
        <w:rPr>
          <w:rFonts w:ascii="Frutiger-BoldCn" w:hAnsi="Frutiger-BoldCn" w:cs="Frutiger-BoldCn"/>
          <w:b/>
          <w:bCs/>
          <w:sz w:val="20"/>
          <w:szCs w:val="20"/>
        </w:rPr>
        <w:t>Characteristics of the research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Classroom questioning is an extensively researched topic. The high incidence of questioning as a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teaching strategy, and its consequent potential for influencing student learning, have led many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investigators to examine relationships between questioning methods and student achievement and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behavior.</w:t>
      </w:r>
    </w:p>
    <w:p w:rsidR="00E571D9" w:rsidRDefault="00E571D9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The findings reported in this summary are drawn from thirty-seven research documents. Twenty</w:t>
      </w:r>
      <w:r w:rsidR="00625ACE">
        <w:rPr>
          <w:rFonts w:ascii="ACaslon-Regular" w:hAnsi="ACaslon-Regular" w:cs="ACaslon-Regular"/>
          <w:sz w:val="22"/>
        </w:rPr>
        <w:t>-</w:t>
      </w:r>
      <w:r>
        <w:rPr>
          <w:rFonts w:ascii="ACaslon-Regular" w:hAnsi="ACaslon-Regular" w:cs="ACaslon-Regular"/>
          <w:sz w:val="22"/>
        </w:rPr>
        <w:t>one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of these are the reports of experimental or correlational studies, thirteen are reviews, one reports the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 xml:space="preserve">results of both a review and a </w:t>
      </w:r>
      <w:r w:rsidR="00AD5281">
        <w:rPr>
          <w:rFonts w:ascii="ACaslon-Regular" w:hAnsi="ACaslon-Regular" w:cs="ACaslon-Regular"/>
          <w:sz w:val="22"/>
        </w:rPr>
        <w:t>study, and two are meta</w:t>
      </w:r>
      <w:r w:rsidR="00C721F0">
        <w:rPr>
          <w:rFonts w:ascii="ACaslon-Regular" w:hAnsi="ACaslon-Regular" w:cs="ACaslon-Regular"/>
          <w:sz w:val="22"/>
        </w:rPr>
        <w:t>-</w:t>
      </w:r>
      <w:r w:rsidR="00AD5281">
        <w:rPr>
          <w:rFonts w:ascii="ACaslon-Regular" w:hAnsi="ACaslon-Regular" w:cs="ACaslon-Regular"/>
          <w:sz w:val="22"/>
        </w:rPr>
        <w:t>analyses. . .</w:t>
      </w:r>
    </w:p>
    <w:p w:rsidR="00E571D9" w:rsidRDefault="00E571D9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Frutiger-BoldCn" w:hAnsi="Frutiger-BoldCn" w:cs="Frutiger-BoldCn"/>
          <w:b/>
          <w:bCs/>
          <w:sz w:val="28"/>
          <w:szCs w:val="28"/>
        </w:rPr>
      </w:pPr>
      <w:r>
        <w:rPr>
          <w:rFonts w:ascii="Frutiger-BoldCn" w:hAnsi="Frutiger-BoldCn" w:cs="Frutiger-BoldCn"/>
          <w:b/>
          <w:bCs/>
          <w:sz w:val="28"/>
          <w:szCs w:val="28"/>
        </w:rPr>
        <w:t>Research findings</w:t>
      </w:r>
    </w:p>
    <w:p w:rsidR="00E571D9" w:rsidRDefault="00E571D9" w:rsidP="00FB5E8F">
      <w:pPr>
        <w:autoSpaceDE w:val="0"/>
        <w:autoSpaceDN w:val="0"/>
        <w:adjustRightInd w:val="0"/>
        <w:spacing w:line="240" w:lineRule="auto"/>
        <w:rPr>
          <w:rFonts w:ascii="Frutiger-BoldCn" w:hAnsi="Frutiger-BoldCn" w:cs="Frutiger-BoldCn"/>
          <w:b/>
          <w:bCs/>
          <w:sz w:val="28"/>
          <w:szCs w:val="28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Frutiger-BoldCn" w:hAnsi="Frutiger-BoldCn" w:cs="Frutiger-BoldCn"/>
          <w:b/>
          <w:bCs/>
          <w:sz w:val="20"/>
          <w:szCs w:val="20"/>
        </w:rPr>
      </w:pPr>
      <w:r>
        <w:rPr>
          <w:rFonts w:ascii="Frutiger-BoldCn" w:hAnsi="Frutiger-BoldCn" w:cs="Frutiger-BoldCn"/>
          <w:b/>
          <w:bCs/>
          <w:sz w:val="20"/>
          <w:szCs w:val="20"/>
        </w:rPr>
        <w:t>General Findings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Some researchers have conducted general investigations of the role of classroom questioning and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have drawn the following conclusions: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Instruction which includes posing questions during lessons is more effective</w:t>
      </w:r>
      <w:r w:rsidR="00625ACE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in producing achievement gains than instruction carried out without</w:t>
      </w:r>
      <w:r w:rsidR="00625ACE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questioning students.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Students perform better on test items previously asked as recitation</w:t>
      </w:r>
      <w:r w:rsidR="00625ACE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questions than on items they have not been exposed to before.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Oral questions posed during classroom recitations are more effective in</w:t>
      </w:r>
      <w:r w:rsidR="00625ACE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fostering learning than are written questions.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Questions which focus student attention on salient elements in the lesson</w:t>
      </w:r>
      <w:r w:rsidR="00625ACE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result in better comprehension than questions which do not.</w:t>
      </w:r>
    </w:p>
    <w:p w:rsidR="00E571D9" w:rsidRDefault="00E571D9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Frutiger-BoldCn" w:hAnsi="Frutiger-BoldCn" w:cs="Frutiger-BoldCn"/>
          <w:b/>
          <w:bCs/>
          <w:sz w:val="20"/>
          <w:szCs w:val="20"/>
        </w:rPr>
      </w:pPr>
      <w:r>
        <w:rPr>
          <w:rFonts w:ascii="Frutiger-BoldCn" w:hAnsi="Frutiger-BoldCn" w:cs="Frutiger-BoldCn"/>
          <w:b/>
          <w:bCs/>
          <w:sz w:val="20"/>
          <w:szCs w:val="20"/>
        </w:rPr>
        <w:t>Placement and Timing of Questions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Asking questions frequently during class discussions is positively related to</w:t>
      </w:r>
      <w:r w:rsidR="00625ACE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learning facts.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Increasing the frequency of classroom questions does not enhance the</w:t>
      </w:r>
      <w:r w:rsidR="00625ACE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learning of more complex material. (Some researchers have found no</w:t>
      </w:r>
      <w:r w:rsidR="00625ACE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relationship; others have found a negative relationship.)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Posing questions before reading and studying material is effective for</w:t>
      </w:r>
      <w:r w:rsidR="00625ACE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students who are older, high ability, and/or known to be interested in the</w:t>
      </w:r>
      <w:r w:rsidR="00625ACE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subject matter.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lastRenderedPageBreak/>
        <w:t>* Very young children and poor readers tend to focus only on material that</w:t>
      </w:r>
      <w:r w:rsidR="00625ACE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will help them answer questions if these are posed before the lesson is</w:t>
      </w:r>
      <w:r w:rsidR="00625ACE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presented.</w:t>
      </w:r>
    </w:p>
    <w:p w:rsidR="00E571D9" w:rsidRDefault="00E571D9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Frutiger-BoldCn" w:hAnsi="Frutiger-BoldCn" w:cs="Frutiger-BoldCn"/>
          <w:b/>
          <w:bCs/>
          <w:sz w:val="20"/>
          <w:szCs w:val="20"/>
        </w:rPr>
      </w:pPr>
      <w:r>
        <w:rPr>
          <w:rFonts w:ascii="Frutiger-BoldCn" w:hAnsi="Frutiger-BoldCn" w:cs="Frutiger-BoldCn"/>
          <w:b/>
          <w:bCs/>
          <w:sz w:val="20"/>
          <w:szCs w:val="20"/>
        </w:rPr>
        <w:t>Cognitive Level of Questions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Should we be asking questions which require literal recall of text content and only very basic reasoning?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Or ought we to be posing questions which call for speculative, inferential and evaluative thinking? Some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researchers have designed experiments which examine the effects of questions framed at differing levels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of Bloom's Taxonomy of School Learning. These levels, in ascending order of sophistication, are: (1)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knowledge, (2) comprehension, (3) application, (4) analysis, (5) synthesis, and (6) evaluation. There are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other hierarchies, too, which are used as the basis for structuring comparative studies.</w:t>
      </w:r>
    </w:p>
    <w:p w:rsidR="00E571D9" w:rsidRDefault="00E571D9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The majority of researchers, however, have conducted more simple comparisons: they have looked at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the relative effects on student outcomes produced by what they call higher and lower cognitive questions.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Lower cognitive questions are those which ask the student merely to recall verbatim or in his/her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own words material previously read or taught by the teacher. Lower cognitive questions are also referred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to in the literature as fact, closed, direct, recall, and knowledge questions.</w:t>
      </w:r>
    </w:p>
    <w:p w:rsidR="00E571D9" w:rsidRDefault="00E571D9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Higher cognitive questions are defined as those which ask the student to mentally manipulate bits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of information previously learned to create an answer or to support an answer with logically reasoned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evidence. Higher cognitive questions are also called open-ended, interpretive, evaluative, inquiry,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inferential, and synthesis questions.</w:t>
      </w:r>
    </w:p>
    <w:p w:rsidR="00E571D9" w:rsidRDefault="00E571D9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Research on the relationship between the cognitive level of teachers’ questions and the achievement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of their students has proved frustrating to many in the field of education, because it has not produced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definitive results. Quite a number of research studies have found higher cognitive questions superior to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lower ones, many have found the opposite, and still others have found no difference. The same is true of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research examining the relationship between the cognitive level of teachers’ questions and the cognitive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level of students’ responses. The conventional wisd</w:t>
      </w:r>
      <w:r w:rsidR="00E571D9">
        <w:rPr>
          <w:rFonts w:ascii="ACaslon-Regular" w:hAnsi="ACaslon-Regular" w:cs="ACaslon-Regular"/>
          <w:sz w:val="22"/>
        </w:rPr>
        <w:t>om that says, “A</w:t>
      </w:r>
      <w:r>
        <w:rPr>
          <w:rFonts w:ascii="ACaslon-Regular" w:hAnsi="ACaslon-Regular" w:cs="ACaslon-Regular"/>
          <w:sz w:val="22"/>
        </w:rPr>
        <w:t>sk a higher level question, get a higher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level answer,” does not seem to hold.</w:t>
      </w:r>
    </w:p>
    <w:p w:rsidR="00E571D9" w:rsidRDefault="00E571D9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It is only when researchers look at the cognitive level of teachers’ questions in relation to the subject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matter, the students, and the teachers’ intent that some meaningful conclusions can be drawn from this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body of research. Findings include: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On the average, during classroom recitations, approximately 60 percent of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the questions asked are lower cognitive questions, 20 percent are higher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cognitive questions, and 20 percent are procedural.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Higher cognitive questions are not categorically better than lower cognitive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questions in elicting higher level responses or in promoting learning gains.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Lower cognitive questions are more effective when the teacher’s purpose is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to impart factual knowledge and assist students in committing this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knowledge to memory.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In settings where a high incidence of lower level questions is appropriate,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greater frequency of questions is positively related to student achievement.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When predominantly lower level questions are used, their level of difficulty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should be such that most will elicit correct responses.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 xml:space="preserve">* </w:t>
      </w:r>
      <w:r w:rsidR="00225AC4">
        <w:rPr>
          <w:rFonts w:ascii="ACaslon-Regular" w:hAnsi="ACaslon-Regular" w:cs="ACaslon-Regular"/>
          <w:sz w:val="22"/>
        </w:rPr>
        <w:t xml:space="preserve">A </w:t>
      </w:r>
      <w:r>
        <w:rPr>
          <w:rFonts w:ascii="ACaslon-Regular" w:hAnsi="ACaslon-Regular" w:cs="ACaslon-Regular"/>
          <w:sz w:val="22"/>
        </w:rPr>
        <w:t>combination of higher and lower</w:t>
      </w:r>
      <w:r w:rsidR="00225AC4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cognitive questions is superior to exclusive use of one or the other.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Students whom teachers perceive as slow or poor learners are asked fewer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higher cognitive questions than students perceived as more capable learners.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Increasing the use of higher cognitive questions (to considerably above the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20 percent incidence noted in most classes) produces superior learning gains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for students above the primary grades and particularly for secondary students.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Simply asking higher cognitive questions does not necessarily lead students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to produce higher cognitive responses.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lastRenderedPageBreak/>
        <w:t>* Teaching students to draw inferences and giving them practice in doing so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result in higher cognitive responses and greater learning gains.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Increases in the use of higher cognitive questions in recitations does not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reduce student performance on lower cognitive questions on tests.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For older students, increases in the use of higher cognitive questions (to 50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percent or more) are positively related to increases in: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(1) On-task behavior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(2) Length of student responses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(3) The number of relevant contributions volunteered by students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(4) The number of student-to-student interactions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(5) Student use of complete sentences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(6) Speculative thinking on the part of students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(7) Relevant questions posed by students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For older students, increases in the use of higher cognitive questions (to 50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percent or more) are positively related to increased teacher expectations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about children’s abilities—particularly the abilities of those students whom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teachers have habitually regarded as slow or poor learners.</w:t>
      </w:r>
    </w:p>
    <w:p w:rsidR="00E571D9" w:rsidRDefault="00E571D9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Frutiger-BoldCn" w:hAnsi="Frutiger-BoldCn" w:cs="Frutiger-BoldCn"/>
          <w:b/>
          <w:bCs/>
          <w:sz w:val="20"/>
          <w:szCs w:val="20"/>
        </w:rPr>
      </w:pPr>
      <w:r>
        <w:rPr>
          <w:rFonts w:ascii="Frutiger-BoldCn" w:hAnsi="Frutiger-BoldCn" w:cs="Frutiger-BoldCn"/>
          <w:b/>
          <w:bCs/>
          <w:sz w:val="20"/>
          <w:szCs w:val="20"/>
        </w:rPr>
        <w:t>Wait-Time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Researchers on questioning strategies speak of two kinds of wait-time: “wait-time 1” refers to the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amount of time the teacher allows to elapse after he/she has posed a question and before a student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begins to speak; and “wait-time 2” refers to the amount of time a teacher waits after a student has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stopped speaking before saying anything. The research has focused more on wait-time 1 than wait-time</w:t>
      </w:r>
      <w:r w:rsidR="00E571D9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2, but the following findings apply to both.</w:t>
      </w:r>
    </w:p>
    <w:p w:rsidR="00E571D9" w:rsidRDefault="00E571D9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Because research has established a positive relationship between the amount of instructional content</w:t>
      </w:r>
      <w:r w:rsidR="00AB7334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covered and student achievement, researchers and other educators have recommended that teachers keep</w:t>
      </w:r>
      <w:r w:rsidR="00AB7334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up brisk instructional pacing. In this way, the reasoning goes, classes will cover more material, student</w:t>
      </w:r>
      <w:r w:rsidR="00AB7334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interest will be maintained, and achievement levels will be higher. As with the research on the cognitive</w:t>
      </w:r>
      <w:r w:rsidR="00AB7334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level of teachers’ questions, this wisdom turns out to have limited application. Findings include: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The average wait-time teachers allow after posing a question is one</w:t>
      </w:r>
      <w:r w:rsidR="00AB7334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second or less.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Students whom teachers perceive as slow or poor learners are given less</w:t>
      </w:r>
      <w:r w:rsidR="00AB7334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wait-time than those teachers view as more capable.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For lower cognitive questions, a wait-time of three seconds is most positively</w:t>
      </w:r>
      <w:r w:rsidR="00AB7334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related to achievement, with less success resulting from shorter or longer</w:t>
      </w:r>
      <w:r w:rsidR="00AB7334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wait-times.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There seems to be no wait-time threshold for higher cognitive questions;</w:t>
      </w:r>
      <w:r w:rsidR="00AB7334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students seem to become more and more engaged and perform better and</w:t>
      </w:r>
      <w:r w:rsidR="00AB7334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better the longer the teacher is willing to wait.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Increasing wait-time beyond three seconds is positively related to the</w:t>
      </w:r>
      <w:r w:rsidR="00AB7334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following student outcomes: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(1) Improvements in the student achievement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(2) Improvements in student retention, as measured by delayed tests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(3) Increases in the number of higher cognitive responses generated by</w:t>
      </w:r>
      <w:r w:rsidR="00AB7334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students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(4) Increases in the length of student responses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(5) Increases in the number of unsolicited responses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(6) Decreases in students’ failure to respond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(7) Increases in the amount and quality of evidence students offer to support</w:t>
      </w:r>
      <w:r w:rsidR="00AB7334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their inferences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(8) Increases in contributions by students who do not participate much</w:t>
      </w:r>
      <w:r w:rsidR="00AB7334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when wait-time is under three seconds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(9) Expansion of the variety of responses offered by students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(10) Decreases in student interruptions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(11) Increases in student-student interactions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(12) Increases in the number of questions posed by students</w:t>
      </w:r>
    </w:p>
    <w:p w:rsidR="00AB7334" w:rsidRDefault="00AB7334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Increasing wait-time beyond three seconds is positively related to the</w:t>
      </w:r>
      <w:r w:rsidR="00AB7334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following teacher outcomes: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(1) in flexibility of teacher responses, with teachers listening more and</w:t>
      </w:r>
      <w:r w:rsidR="00AB7334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engaging students in more discussions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(2) Increases in teacher expectations regarding students usually thought</w:t>
      </w:r>
      <w:r w:rsidR="00AB7334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of as slow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(3) Expansion of the variety of questions asked by teachers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(4) Increases in the number of higher cognitive questions asked by teachers.</w:t>
      </w:r>
    </w:p>
    <w:p w:rsidR="00AB7334" w:rsidRDefault="00AB7334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Frutiger-BoldCn" w:hAnsi="Frutiger-BoldCn" w:cs="Frutiger-BoldCn"/>
          <w:b/>
          <w:bCs/>
          <w:sz w:val="28"/>
          <w:szCs w:val="28"/>
        </w:rPr>
      </w:pPr>
      <w:r>
        <w:rPr>
          <w:rFonts w:ascii="Frutiger-BoldCn" w:hAnsi="Frutiger-BoldCn" w:cs="Frutiger-BoldCn"/>
          <w:b/>
          <w:bCs/>
          <w:sz w:val="28"/>
          <w:szCs w:val="28"/>
        </w:rPr>
        <w:t xml:space="preserve">Relationship </w:t>
      </w:r>
      <w:r w:rsidR="0086617C">
        <w:rPr>
          <w:rFonts w:ascii="Frutiger-BoldCn" w:hAnsi="Frutiger-BoldCn" w:cs="Frutiger-BoldCn"/>
          <w:b/>
          <w:bCs/>
          <w:sz w:val="28"/>
          <w:szCs w:val="28"/>
        </w:rPr>
        <w:t>between</w:t>
      </w:r>
      <w:r>
        <w:rPr>
          <w:rFonts w:ascii="Frutiger-BoldCn" w:hAnsi="Frutiger-BoldCn" w:cs="Frutiger-BoldCn"/>
          <w:b/>
          <w:bCs/>
          <w:sz w:val="28"/>
          <w:szCs w:val="28"/>
        </w:rPr>
        <w:t xml:space="preserve"> Increasing the Use of Higher Cognitive Questions and</w:t>
      </w:r>
      <w:r w:rsidR="0086617C">
        <w:rPr>
          <w:rFonts w:ascii="Frutiger-BoldCn" w:hAnsi="Frutiger-BoldCn" w:cs="Frutiger-BoldCn"/>
          <w:b/>
          <w:bCs/>
          <w:sz w:val="28"/>
          <w:szCs w:val="28"/>
        </w:rPr>
        <w:t xml:space="preserve"> In</w:t>
      </w:r>
      <w:r>
        <w:rPr>
          <w:rFonts w:ascii="Frutiger-BoldCn" w:hAnsi="Frutiger-BoldCn" w:cs="Frutiger-BoldCn"/>
          <w:b/>
          <w:bCs/>
          <w:sz w:val="28"/>
          <w:szCs w:val="28"/>
        </w:rPr>
        <w:t>creasing Wait-Time</w:t>
      </w:r>
    </w:p>
    <w:p w:rsidR="0086617C" w:rsidRDefault="0086617C" w:rsidP="00FB5E8F">
      <w:pPr>
        <w:autoSpaceDE w:val="0"/>
        <w:autoSpaceDN w:val="0"/>
        <w:adjustRightInd w:val="0"/>
        <w:spacing w:line="240" w:lineRule="auto"/>
        <w:rPr>
          <w:rFonts w:ascii="Frutiger-BoldCn" w:hAnsi="Frutiger-BoldCn" w:cs="Frutiger-BoldCn"/>
          <w:b/>
          <w:bCs/>
          <w:sz w:val="28"/>
          <w:szCs w:val="28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The list of benefits produced by increasing higher cognitive questions and the list of benefits resulting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from increased wait-time are remarkably similar. In addition, research has shown that the degree of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improvement resulting from increases in both higher cognitive questions and wait-time is greater than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an increase in either of these variables by itself. Indeed, those who have examined the relationship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between these factors tell us that, in a sense, they “cause” one another. That is, the more complex mental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operations required by higher cognitive questions call for—and are often found to produce—longer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wait-times. And increases in wait-time seem to result in teachers and students carrying out recitations at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higher cognitive levels.</w:t>
      </w:r>
    </w:p>
    <w:p w:rsidR="0086617C" w:rsidRDefault="0086617C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Frutiger-BoldCn" w:hAnsi="Frutiger-BoldCn" w:cs="Frutiger-BoldCn"/>
          <w:b/>
          <w:bCs/>
          <w:sz w:val="28"/>
          <w:szCs w:val="28"/>
        </w:rPr>
      </w:pPr>
      <w:r>
        <w:rPr>
          <w:rFonts w:ascii="Frutiger-BoldCn" w:hAnsi="Frutiger-BoldCn" w:cs="Frutiger-BoldCn"/>
          <w:b/>
          <w:bCs/>
          <w:sz w:val="28"/>
          <w:szCs w:val="28"/>
        </w:rPr>
        <w:t>Redirection/Probing/Reinforcement</w:t>
      </w:r>
    </w:p>
    <w:p w:rsidR="0086617C" w:rsidRDefault="0086617C" w:rsidP="00FB5E8F">
      <w:pPr>
        <w:autoSpaceDE w:val="0"/>
        <w:autoSpaceDN w:val="0"/>
        <w:adjustRightInd w:val="0"/>
        <w:spacing w:line="240" w:lineRule="auto"/>
        <w:rPr>
          <w:rFonts w:ascii="Frutiger-BoldCn" w:hAnsi="Frutiger-BoldCn" w:cs="Frutiger-BoldCn"/>
          <w:b/>
          <w:bCs/>
          <w:sz w:val="28"/>
          <w:szCs w:val="28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The research on questioning includes investigations into the effects of redirecting questions when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initial responses are unsatisfactory or incomplete, probing for more complete responses, and providing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reinforcement of responses.</w:t>
      </w:r>
    </w:p>
    <w:p w:rsidR="0086617C" w:rsidRDefault="0086617C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These practices have been discussed previously in this School Improvement Research Series. The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1988 “close-up” report entitled Instructional Reinforcement looks at the ways teachers respond to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student answers and other student comments, and how the nature of those responses relate to student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outcomes. Monitoring Student Learning in the Classroom, also published in 1988, discusses classroom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questioning as one of many approaches teachers can use to track student learning. The findings emerging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from these investigations are congruent with the general literature on questioning, including: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Redirection and probing (often researched together) are positively related to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achievement when they are explicitly focused, e.g., on the clarity, accuracy,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plausibility, etc. of student responses.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Redirection and probing are unrelated to achievement when they are vague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or critical, e.g., “That’s not right; try again”; “Where did you get an idea like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that? I’m sure Suzanne has thought it through more carefully and can help us.”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Acknowledging correct responses as such is positively related to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achievement.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Praise is positively related to achievement when it is used sparingly, is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directly related to the student's response, and is sincere and credible.</w:t>
      </w:r>
    </w:p>
    <w:p w:rsidR="0086617C" w:rsidRDefault="0086617C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Frutiger-BoldCn" w:hAnsi="Frutiger-BoldCn" w:cs="Frutiger-BoldCn"/>
          <w:b/>
          <w:bCs/>
          <w:sz w:val="28"/>
          <w:szCs w:val="28"/>
        </w:rPr>
      </w:pPr>
      <w:r>
        <w:rPr>
          <w:rFonts w:ascii="Frutiger-BoldCn" w:hAnsi="Frutiger-BoldCn" w:cs="Frutiger-BoldCn"/>
          <w:b/>
          <w:bCs/>
          <w:sz w:val="28"/>
          <w:szCs w:val="28"/>
        </w:rPr>
        <w:t>Student Attitudes</w:t>
      </w:r>
    </w:p>
    <w:p w:rsidR="0086617C" w:rsidRDefault="0086617C" w:rsidP="00FB5E8F">
      <w:pPr>
        <w:autoSpaceDE w:val="0"/>
        <w:autoSpaceDN w:val="0"/>
        <w:adjustRightInd w:val="0"/>
        <w:spacing w:line="240" w:lineRule="auto"/>
        <w:rPr>
          <w:rFonts w:ascii="Frutiger-BoldCn" w:hAnsi="Frutiger-BoldCn" w:cs="Frutiger-BoldCn"/>
          <w:b/>
          <w:bCs/>
          <w:sz w:val="28"/>
          <w:szCs w:val="28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Reports on most practices investigated by educational researchers include findings about the effects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of the practice on student attitudes as well as learning outcomes. Research on the relationship between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questioning practices and student attitudes is virtually nonexistent. The only findings emerging from the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literature reviewed in preparation for this report include: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The cognitive level of questions posed is unrelated to students’ attitudes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toward the subject matter.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Those students who prefer lower cognitive questions perform better in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recitations and on tests where lower cognitive questions are posed.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Those students who prefer higher cognitive questions perform equally well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with higher or lower cognitive questions in recitations and on tests.</w:t>
      </w:r>
    </w:p>
    <w:p w:rsidR="0086617C" w:rsidRDefault="0086617C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Frutiger-BoldCn" w:hAnsi="Frutiger-BoldCn" w:cs="Frutiger-BoldCn"/>
          <w:b/>
          <w:bCs/>
          <w:sz w:val="28"/>
          <w:szCs w:val="28"/>
        </w:rPr>
      </w:pPr>
      <w:r>
        <w:rPr>
          <w:rFonts w:ascii="Frutiger-BoldCn" w:hAnsi="Frutiger-BoldCn" w:cs="Frutiger-BoldCn"/>
          <w:b/>
          <w:bCs/>
          <w:sz w:val="28"/>
          <w:szCs w:val="28"/>
        </w:rPr>
        <w:t>Guidelines for Classroom Questioning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Based on the foregoing findings from the research on classroom questioning, the following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recommendations are offered: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Incorporate questioning into classroom teaching/learning practices.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Ask questions which focus on the salient elements in the lesson; avoid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questioning students about extraneous matters.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When teaching students factual material, keep up a brisk instructional pace</w:t>
      </w:r>
      <w:r w:rsidR="0086617C">
        <w:rPr>
          <w:rFonts w:ascii="ACaslon-Regular" w:hAnsi="ACaslon-Regular" w:cs="ACaslon-Regular"/>
          <w:sz w:val="22"/>
        </w:rPr>
        <w:t xml:space="preserve">; </w:t>
      </w:r>
      <w:r>
        <w:rPr>
          <w:rFonts w:ascii="ACaslon-Regular" w:hAnsi="ACaslon-Regular" w:cs="ACaslon-Regular"/>
          <w:sz w:val="22"/>
        </w:rPr>
        <w:t>frequently posing lower cognitive questions.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With older and higher ability students, ask questions before (as well as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after) material is read and studied.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Question younger and lower ability students only after material has been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read and studied.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Ask a majority of higher cognitive questions when instructing older and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higher ability students.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In settings where higher cognitive questions are appropriate, teach students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strategies for drawing inferences.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Keep wait-time to about three seconds when conducting recitations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involving a majority of lower cognitive questions.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Increase wait-time beyond three seconds when asking higher cognitive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questions.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Be particularly careful to allow generous amounts of wait-time to students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perceived as lower ability.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Use redirection and probing as part of classroom questioning and keep these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focused on salient elements of students' responses.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Avoid vague or critical responses to student answers during recitations.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* During recitations, use praise sparingly and make certain it is sincere,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credible, and directly connected to the students' responses.</w:t>
      </w:r>
    </w:p>
    <w:p w:rsidR="0086617C" w:rsidRDefault="0086617C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Detailed instructions for teachin</w:t>
      </w:r>
      <w:r w:rsidR="0086617C">
        <w:rPr>
          <w:rFonts w:ascii="ACaslon-Regular" w:hAnsi="ACaslon-Regular" w:cs="ACaslon-Regular"/>
          <w:sz w:val="22"/>
        </w:rPr>
        <w:t>g students to draw inferences are</w:t>
      </w:r>
      <w:r>
        <w:rPr>
          <w:rFonts w:ascii="ACaslon-Regular" w:hAnsi="ACaslon-Regular" w:cs="ACaslon-Regular"/>
          <w:sz w:val="22"/>
        </w:rPr>
        <w:t xml:space="preserve"> outside the scope of this paper.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However, the model offered by Pearson (1985) does provide some basic steps which can help students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make connections between what they know and what they are seeking to learn. Pearson suggests that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teachers complete all the steps in this process by way of demonstration, then gradually shift responsibility</w:t>
      </w:r>
      <w:r w:rsidR="0086617C">
        <w:rPr>
          <w:rFonts w:ascii="ACaslon-Regular" w:hAnsi="ACaslon-Regular" w:cs="ACaslon-Regular"/>
          <w:sz w:val="22"/>
        </w:rPr>
        <w:t xml:space="preserve"> </w:t>
      </w:r>
      <w:r>
        <w:rPr>
          <w:rFonts w:ascii="ACaslon-Regular" w:hAnsi="ACaslon-Regular" w:cs="ACaslon-Regular"/>
          <w:sz w:val="22"/>
        </w:rPr>
        <w:t>for all but the first step to the students.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1. Ask the inference question.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2. Answer it.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3. Find clues in the text to support the inference.</w:t>
      </w:r>
    </w:p>
    <w:p w:rsidR="00FB5E8F" w:rsidRDefault="00FB5E8F" w:rsidP="00FB5E8F">
      <w:pPr>
        <w:autoSpaceDE w:val="0"/>
        <w:autoSpaceDN w:val="0"/>
        <w:adjustRightInd w:val="0"/>
        <w:spacing w:line="240" w:lineRule="auto"/>
        <w:rPr>
          <w:rFonts w:ascii="ACaslon-Regular" w:hAnsi="ACaslon-Regular" w:cs="ACaslon-Regular"/>
          <w:sz w:val="22"/>
        </w:rPr>
      </w:pPr>
      <w:r>
        <w:rPr>
          <w:rFonts w:ascii="ACaslon-Regular" w:hAnsi="ACaslon-Regular" w:cs="ACaslon-Regular"/>
          <w:sz w:val="22"/>
        </w:rPr>
        <w:t>4. Tell how to get from the clues to the answer (i.e., give a line of reasoning).</w:t>
      </w:r>
    </w:p>
    <w:sectPr w:rsidR="00FB5E8F" w:rsidSect="00320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Frutiger-Black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Casl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utiger-BoldC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B5E8F"/>
    <w:rsid w:val="0006487D"/>
    <w:rsid w:val="00225AC4"/>
    <w:rsid w:val="003201E9"/>
    <w:rsid w:val="00625ACE"/>
    <w:rsid w:val="007739E3"/>
    <w:rsid w:val="0086617C"/>
    <w:rsid w:val="00A90195"/>
    <w:rsid w:val="00AB7334"/>
    <w:rsid w:val="00AD5281"/>
    <w:rsid w:val="00AF519E"/>
    <w:rsid w:val="00C460BD"/>
    <w:rsid w:val="00C721F0"/>
    <w:rsid w:val="00E571D9"/>
    <w:rsid w:val="00FA786E"/>
    <w:rsid w:val="00FB5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1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2376</Words>
  <Characters>13545</Characters>
  <Application>Microsoft Office Word</Application>
  <DocSecurity>0</DocSecurity>
  <Lines>112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15890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2010-12-13T20:45:00Z</dcterms:created>
  <dcterms:modified xsi:type="dcterms:W3CDTF">2010-12-13T20:45:00Z</dcterms:modified>
</cp:coreProperties>
</file>